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Progression - Suits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1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AC1-4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Progression - Suits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Mar 27, 2023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11 May 2023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Progression - Suits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Progression - Suits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Progression - Suits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AC1 Informing ideas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AC1 Informing ideas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AC2 Problem solving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AC2 Problem solving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AC3 Technical skill  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AC3 Technical skill  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AC4 Evaluation and reflection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AC4 Evaluation and reflection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AC5 Communication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AC5 Communication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Progression - Suits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