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23</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A</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Assignment 1 - 2023-24 - Examine the principles of systems analysis and design</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Oct 02, 2023</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Oct 30, 2023</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Bristol City College is looking for some help from some of the top students in the computing department. Your skills in systems analysis and design have been recognised 
</w:t>
              <w:br/>
              <w:t xml:space="preserve">
</w:t>
              <w:br/>
              <w:t xml:space="preserve">The Hair and Beauty department need a booking system as a mobile app and website, so people can make appointments without having to go see them. You need to interview the manager to investigate the user requirements and what went wrong with the last app and hence how you can improve it. 
</w:t>
              <w:br/>
              <w:t xml:space="preserve">
</w:t>
              <w:br/>
              <w:t xml:space="preserve">Also, the Manager has asked you, a junior system analyst, to present a report to them that will inform them of all the software development models and systems analysis tools and techniques which they might find suitability for modelling the business processes requirements for the canteen ordering system, so they can improve on the last app that was made.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They suggested you follow this structure so they can find the information easily 
</w:t>
              <w:br/>
              <w:t xml:space="preserve">
</w:t>
              <w:br/>
              <w:t xml:space="preserve">Introduction Here they want you to discuss what you are going to discuss in your report. E.g. a description of SDLC, software systems methodologies and examples of tools used to analyse software. 
</w:t>
              <w:br/>
              <w:t xml:space="preserve">
</w:t>
              <w:br/>
              <w:t xml:space="preserve">Systems Development Life-Cycle (SDLC) 
</w:t>
              <w:br/>
              <w:t xml:space="preserve">
</w:t>
              <w:br/>
              <w:t xml:space="preserve">They would like you to describe what the SDLC is. They want to understand what each part of the lifecycle involves and how it could be practically implemented to develop their system. 
</w:t>
              <w:br/>
              <w:t xml:space="preserve">
</w:t>
              <w:br/>
              <w:t xml:space="preserve">Software Development Models  
</w:t>
              <w:br/>
              <w:t xml:space="preserve">
</w:t>
              <w:br/>
              <w:t xml:space="preserve">They would like to understand each model involved in the SDLC and require a description of  
</w:t>
              <w:br/>
              <w:t xml:space="preserve">
</w:t>
              <w:br/>
              <w:t xml:space="preserve">Waterfall 
</w:t>
              <w:br/>
              <w:t xml:space="preserve">
</w:t>
              <w:br/>
              <w:t xml:space="preserve">IterativeAgile 
</w:t>
              <w:br/>
              <w:t xml:space="preserve">
</w:t>
              <w:br/>
              <w:t xml:space="preserve">Incremental 
</w:t>
              <w:br/>
              <w:t xml:space="preserve">
</w:t>
              <w:br/>
              <w:t xml:space="preserve">Spiral 
</w:t>
              <w:br/>
              <w:t xml:space="preserve">
</w:t>
              <w:br/>
              <w:t xml:space="preserve">Rapid Prototyping. 
</w:t>
              <w:br/>
              <w:t xml:space="preserve">
</w:t>
              <w:br/>
              <w:t xml:space="preserve">Also, to help them understand the best which one to use they would like to hear about case studies of other projects that were successful or not and used each model.  
</w:t>
              <w:br/>
              <w:t xml:space="preserve">
</w:t>
              <w:br/>
              <w:t xml:space="preserve">Comparisons of the models They are really keen to hear how each model compares to the other. What are the benefits of one over the other depending on the type project that you are working. Which is the most suitable for the canteens project Why did some models work for some of the case studies and some they didnt.  
</w:t>
              <w:br/>
              <w:t xml:space="preserve">
</w:t>
              <w:br/>
              <w:t xml:space="preserve">Software development frameworks 
</w:t>
              <w:br/>
              <w:t xml:space="preserve">
</w:t>
              <w:br/>
              <w:t xml:space="preserve">As well as gaining an understanding of what the different development models are they also want to know what kind of framework their canteen app development could be modelled in. There are a few main types 
</w:t>
              <w:br/>
              <w:t xml:space="preserve">
</w:t>
              <w:br/>
              <w:t xml:space="preserve">SSADM  Structured Systems Analysis and Design (focussing on detailed analysis and design taking years) 
</w:t>
              <w:br/>
              <w:t xml:space="preserve">
</w:t>
              <w:br/>
              <w:t xml:space="preserve">RAD  Rapid Applications Development (rapidly produce prototypes) 
</w:t>
              <w:br/>
              <w:t xml:space="preserve">
</w:t>
              <w:br/>
              <w:t xml:space="preserve">XP  Extreme Programming (pair programming, test driven development, fast to make a product) 
</w:t>
              <w:br/>
              <w:t xml:space="preserve">
</w:t>
              <w:br/>
              <w:t xml:space="preserve">SCRUM  Development team, SCRUM master and product owner all working together to manage a project 
</w:t>
              <w:br/>
              <w:t xml:space="preserve">
</w:t>
              <w:br/>
              <w:t xml:space="preserve">Comparison of frameworks  
</w:t>
              <w:br/>
              <w:t xml:space="preserve">
</w:t>
              <w:br/>
              <w:t xml:space="preserve">They are super keen to hear how they compare against each other. Does one cost more that the other Is one more detailed but slower to produce a piece of software Is one very fast and agile producing software quickly so that it works, but not in a finished state 
</w:t>
              <w:br/>
              <w:t xml:space="preserve">
</w:t>
              <w:br/>
              <w:t xml:space="preserve">Applied software development lifecycle tools and techniques Finally, the Canteen manage would like an explanation and the a comparison of these techniques, using screenshots of examples in Visio design 
</w:t>
              <w:br/>
              <w:t xml:space="preserve">
</w:t>
              <w:br/>
              <w:t xml:space="preserve">Object-oriented techniques unified modelling language (UML), analysis models such as cases, analysis class diagram. 
</w:t>
              <w:br/>
              <w:t xml:space="preserve">
</w:t>
              <w:br/>
              <w:t xml:space="preserve">Structured techniques entity relationship diagram (ERD), logical data structure, process such as data flow diagram (DFD), time such as entity life history, models. 
</w:t>
              <w:br/>
              <w:t xml:space="preserve">
</w:t>
              <w:br/>
              <w:t xml:space="preserve">Computer-aided software engineering (CASE) tools, e.g. data dictionary, decision table checking, Screen design for data output 
</w:t>
              <w:br/>
              <w:t xml:space="preserve">
</w:t>
              <w:br/>
              <w:t xml:space="preserve">You need to show examples of how they are used, pictures etc. but you dont need to design the models for the Canteen System. 
</w:t>
              <w:br/>
              <w:t xml:space="preserve">
</w:t>
              <w:br/>
              <w:t xml:space="preserve">You do need to discuss briefly how each model could be used to design the system well and how it would help to understand and create the new canteen app.</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Report that evaluates the use of the applied software development lifecycle model and systems methodology in the problem solving process.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stages of the software development lifecycle.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principles of systems methodologies used in the problem solving process.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M1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Compare the use of the applied software development lifecycle model and systems methodology in the problem solving process against alternative options.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D1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use of the applied software development lifecycle model and systems methodology in the problem solving process.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All the lecture notes posted in your topics and lectures channel      Provides a good overview of system methodology httpwww.tutorialspoint.comsdlcsdlc_overview.htm      Provides an overview of system analysis and design methodology    httpswww.techopedia.comdefinition3983structured-systems-analysis-and-design-method-ssadm      A Good introduction to dynamic systems development (DSDM)    httpswww.dsdm.orgwhat-is-dsdm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