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rtrtr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226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rtrtet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Examine the principles of systems analysis and design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Feb 06, 2024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5 March 2024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dfgfdg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dfgdfgdf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2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226 / ersfs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sdfds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fdgsdfs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