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Apps Development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Investigate mobile apps and mobile   devices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